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B2" w:rsidRPr="00B272B2" w:rsidRDefault="00B272B2" w:rsidP="00B272B2">
      <w:pPr>
        <w:pStyle w:val="a5"/>
        <w:jc w:val="center"/>
        <w:rPr>
          <w:rFonts w:ascii="Times New Roman" w:hAnsi="Times New Roman"/>
        </w:rPr>
      </w:pPr>
      <w:r w:rsidRPr="00B272B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B2" w:rsidRPr="00B272B2" w:rsidRDefault="00B272B2" w:rsidP="00B272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272B2" w:rsidRPr="00B272B2" w:rsidRDefault="00B272B2" w:rsidP="00B272B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36"/>
          <w:szCs w:val="36"/>
        </w:rPr>
        <w:t>АДМИНИСТРАЦИЯ</w:t>
      </w:r>
    </w:p>
    <w:p w:rsidR="00B272B2" w:rsidRPr="00B272B2" w:rsidRDefault="00B272B2" w:rsidP="00B272B2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272B2">
        <w:rPr>
          <w:rFonts w:ascii="Times New Roman" w:hAnsi="Times New Roman"/>
          <w:sz w:val="36"/>
          <w:szCs w:val="36"/>
        </w:rPr>
        <w:t>Юрюзанского</w:t>
      </w:r>
      <w:proofErr w:type="spellEnd"/>
      <w:r w:rsidRPr="00B272B2">
        <w:rPr>
          <w:rFonts w:ascii="Times New Roman" w:hAnsi="Times New Roman"/>
          <w:sz w:val="36"/>
          <w:szCs w:val="36"/>
        </w:rPr>
        <w:t xml:space="preserve"> городского поселения</w:t>
      </w:r>
    </w:p>
    <w:p w:rsidR="00B272B2" w:rsidRPr="00B272B2" w:rsidRDefault="00B272B2" w:rsidP="00B272B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B272B2">
        <w:rPr>
          <w:rFonts w:ascii="Times New Roman" w:hAnsi="Times New Roman"/>
          <w:b/>
          <w:sz w:val="44"/>
          <w:szCs w:val="44"/>
        </w:rPr>
        <w:t>ПОСТАНОВЛЕНИЕ</w:t>
      </w:r>
    </w:p>
    <w:p w:rsidR="00B272B2" w:rsidRPr="00B272B2" w:rsidRDefault="00B272B2" w:rsidP="00B272B2">
      <w:pPr>
        <w:pStyle w:val="a5"/>
        <w:rPr>
          <w:rFonts w:ascii="Times New Roman" w:hAnsi="Times New Roman"/>
        </w:rPr>
      </w:pPr>
    </w:p>
    <w:tbl>
      <w:tblPr>
        <w:tblW w:w="10064" w:type="dxa"/>
        <w:tblInd w:w="392" w:type="dxa"/>
        <w:tblBorders>
          <w:top w:val="triple" w:sz="4" w:space="0" w:color="auto"/>
        </w:tblBorders>
        <w:tblLook w:val="0000"/>
      </w:tblPr>
      <w:tblGrid>
        <w:gridCol w:w="10064"/>
      </w:tblGrid>
      <w:tr w:rsidR="00B272B2" w:rsidRPr="00B272B2" w:rsidTr="00993886">
        <w:trPr>
          <w:trHeight w:val="156"/>
        </w:trPr>
        <w:tc>
          <w:tcPr>
            <w:tcW w:w="1006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272B2" w:rsidRPr="00B272B2" w:rsidRDefault="00B272B2" w:rsidP="00993886">
            <w:pPr>
              <w:pStyle w:val="a5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B272B2" w:rsidRPr="00B272B2" w:rsidRDefault="00B272B2" w:rsidP="00B272B2">
      <w:pPr>
        <w:pStyle w:val="a5"/>
        <w:rPr>
          <w:rFonts w:ascii="Times New Roman" w:hAnsi="Times New Roman"/>
          <w:b/>
          <w:i/>
          <w:sz w:val="4"/>
          <w:szCs w:val="4"/>
        </w:rPr>
      </w:pPr>
    </w:p>
    <w:p w:rsidR="0059149F" w:rsidRDefault="00B272B2" w:rsidP="00B272B2">
      <w:pPr>
        <w:pStyle w:val="a5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 xml:space="preserve">      «</w:t>
      </w:r>
      <w:r w:rsidR="0059149F">
        <w:rPr>
          <w:rFonts w:ascii="Times New Roman" w:hAnsi="Times New Roman"/>
          <w:sz w:val="28"/>
          <w:szCs w:val="28"/>
        </w:rPr>
        <w:t>01</w:t>
      </w:r>
      <w:r w:rsidRPr="00B272B2">
        <w:rPr>
          <w:rFonts w:ascii="Times New Roman" w:hAnsi="Times New Roman"/>
          <w:sz w:val="28"/>
          <w:szCs w:val="28"/>
        </w:rPr>
        <w:t>»</w:t>
      </w:r>
      <w:r w:rsidR="0059149F">
        <w:rPr>
          <w:rFonts w:ascii="Times New Roman" w:hAnsi="Times New Roman"/>
          <w:sz w:val="28"/>
          <w:szCs w:val="28"/>
        </w:rPr>
        <w:t xml:space="preserve"> 03  </w:t>
      </w:r>
      <w:r w:rsidRPr="00B272B2">
        <w:rPr>
          <w:rFonts w:ascii="Times New Roman" w:hAnsi="Times New Roman"/>
          <w:sz w:val="28"/>
          <w:szCs w:val="28"/>
        </w:rPr>
        <w:t xml:space="preserve"> 2022 г.     № </w:t>
      </w:r>
      <w:r w:rsidR="0059149F">
        <w:rPr>
          <w:rFonts w:ascii="Times New Roman" w:hAnsi="Times New Roman"/>
          <w:sz w:val="28"/>
          <w:szCs w:val="28"/>
        </w:rPr>
        <w:t>87</w:t>
      </w:r>
    </w:p>
    <w:p w:rsidR="00B272B2" w:rsidRPr="00B272B2" w:rsidRDefault="00B272B2" w:rsidP="00B272B2">
      <w:pPr>
        <w:pStyle w:val="a5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 xml:space="preserve">      г. Юрюзань                             </w:t>
      </w:r>
    </w:p>
    <w:p w:rsidR="00B272B2" w:rsidRPr="00B272B2" w:rsidRDefault="00B272B2" w:rsidP="00B272B2">
      <w:pPr>
        <w:pStyle w:val="a5"/>
        <w:rPr>
          <w:rFonts w:ascii="Times New Roman" w:hAnsi="Times New Roman"/>
          <w:sz w:val="20"/>
        </w:rPr>
      </w:pP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272B2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 xml:space="preserve">регламента по предоставлению </w:t>
      </w: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>муниципальной услуги «Выдача разрешения</w:t>
      </w: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 xml:space="preserve">на ввод объекта капитального </w:t>
      </w: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>строительства в эксплуатацию»</w:t>
      </w: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7"/>
        </w:rPr>
      </w:pPr>
    </w:p>
    <w:p w:rsidR="00B272B2" w:rsidRPr="00B272B2" w:rsidRDefault="00B272B2" w:rsidP="00B272B2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 xml:space="preserve">В соответствии со ст. 40 Градостроительного Кодекса Российской Федерации, Федеральным законом от 27.07.2010 г. № </w:t>
      </w:r>
      <w:r w:rsidRPr="00B272B2">
        <w:rPr>
          <w:rFonts w:ascii="Times New Roman" w:hAnsi="Times New Roman"/>
          <w:spacing w:val="2"/>
          <w:sz w:val="28"/>
          <w:szCs w:val="28"/>
        </w:rPr>
        <w:t xml:space="preserve">210-ФЗ </w:t>
      </w:r>
      <w:r w:rsidRPr="00B272B2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B272B2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услуг»,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 w:rsidRPr="00B272B2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Pr="00B272B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B272B2" w:rsidRPr="00B272B2" w:rsidRDefault="00B272B2" w:rsidP="00B272B2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>ПОСТАНОВЛЯЮ:</w:t>
      </w:r>
    </w:p>
    <w:p w:rsidR="00B272B2" w:rsidRPr="00B272B2" w:rsidRDefault="00B272B2" w:rsidP="00B272B2">
      <w:pPr>
        <w:pStyle w:val="a5"/>
        <w:ind w:left="426"/>
        <w:jc w:val="both"/>
        <w:rPr>
          <w:rFonts w:ascii="Times New Roman" w:hAnsi="Times New Roman"/>
          <w:sz w:val="28"/>
        </w:rPr>
      </w:pPr>
      <w:r w:rsidRPr="00B272B2">
        <w:rPr>
          <w:rFonts w:ascii="Times New Roman" w:hAnsi="Times New Roman"/>
          <w:sz w:val="28"/>
        </w:rPr>
        <w:t>1.Утвердить прилагаемый административный регламент предоставления муниципальной услуги «</w:t>
      </w:r>
      <w:r w:rsidRPr="00070245">
        <w:rPr>
          <w:rFonts w:ascii="Times New Roman" w:hAnsi="Times New Roman"/>
          <w:sz w:val="28"/>
        </w:rPr>
        <w:t>Выдача разрешения на ввод объекта капитального строительства в эксплуатацию</w:t>
      </w:r>
      <w:r w:rsidRPr="00B272B2">
        <w:rPr>
          <w:rFonts w:ascii="Times New Roman" w:hAnsi="Times New Roman"/>
          <w:sz w:val="28"/>
        </w:rPr>
        <w:t>», согласно Приложению к настоящему постановлению.</w:t>
      </w:r>
    </w:p>
    <w:p w:rsidR="00B272B2" w:rsidRPr="00B272B2" w:rsidRDefault="00B272B2" w:rsidP="00B272B2">
      <w:pPr>
        <w:pStyle w:val="a5"/>
        <w:ind w:left="426"/>
        <w:jc w:val="both"/>
        <w:rPr>
          <w:rFonts w:ascii="Times New Roman" w:hAnsi="Times New Roman"/>
          <w:sz w:val="28"/>
        </w:rPr>
      </w:pPr>
      <w:r w:rsidRPr="00B272B2">
        <w:rPr>
          <w:rFonts w:ascii="Times New Roman" w:hAnsi="Times New Roman"/>
          <w:sz w:val="28"/>
        </w:rPr>
        <w:t xml:space="preserve">2.Обнародовать настоящее постановление на информационных стендах </w:t>
      </w:r>
      <w:proofErr w:type="spellStart"/>
      <w:r w:rsidRPr="00B272B2">
        <w:rPr>
          <w:rFonts w:ascii="Times New Roman" w:hAnsi="Times New Roman"/>
          <w:sz w:val="28"/>
        </w:rPr>
        <w:t>Юрюзанского</w:t>
      </w:r>
      <w:proofErr w:type="spellEnd"/>
      <w:r w:rsidRPr="00B272B2">
        <w:rPr>
          <w:rFonts w:ascii="Times New Roman" w:hAnsi="Times New Roman"/>
          <w:sz w:val="28"/>
        </w:rPr>
        <w:t xml:space="preserve"> городского поселения и разместить на официальном сайте Администрации </w:t>
      </w:r>
      <w:proofErr w:type="spellStart"/>
      <w:r w:rsidRPr="00B272B2">
        <w:rPr>
          <w:rFonts w:ascii="Times New Roman" w:hAnsi="Times New Roman"/>
          <w:sz w:val="28"/>
        </w:rPr>
        <w:t>Юрюзанского</w:t>
      </w:r>
      <w:proofErr w:type="spellEnd"/>
      <w:r w:rsidRPr="00B272B2">
        <w:rPr>
          <w:rFonts w:ascii="Times New Roman" w:hAnsi="Times New Roman"/>
          <w:sz w:val="28"/>
        </w:rPr>
        <w:t xml:space="preserve"> городского поселения </w:t>
      </w:r>
      <w:hyperlink r:id="rId9" w:history="1">
        <w:r w:rsidRPr="00B272B2">
          <w:rPr>
            <w:rStyle w:val="af9"/>
            <w:rFonts w:ascii="Times New Roman" w:hAnsi="Times New Roman"/>
            <w:sz w:val="28"/>
            <w:szCs w:val="28"/>
            <w:bdr w:val="none" w:sz="0" w:space="0" w:color="auto" w:frame="1"/>
          </w:rPr>
          <w:t>www.yuryuzan.ru</w:t>
        </w:r>
      </w:hyperlink>
      <w:r w:rsidRPr="00B272B2">
        <w:rPr>
          <w:rFonts w:ascii="Times New Roman" w:hAnsi="Times New Roman"/>
          <w:sz w:val="28"/>
        </w:rPr>
        <w:t>.</w:t>
      </w:r>
    </w:p>
    <w:p w:rsidR="00B272B2" w:rsidRPr="00B272B2" w:rsidRDefault="00B272B2" w:rsidP="00B272B2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 xml:space="preserve">3.Постановления администрации </w:t>
      </w:r>
      <w:proofErr w:type="spellStart"/>
      <w:r w:rsidRPr="00B272B2">
        <w:rPr>
          <w:rFonts w:ascii="Times New Roman" w:hAnsi="Times New Roman"/>
          <w:sz w:val="28"/>
          <w:szCs w:val="28"/>
        </w:rPr>
        <w:t>Юрюза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№282</w:t>
      </w:r>
      <w:r w:rsidRPr="00B272B2">
        <w:rPr>
          <w:rFonts w:ascii="Times New Roman" w:hAnsi="Times New Roman"/>
          <w:sz w:val="28"/>
          <w:szCs w:val="28"/>
        </w:rPr>
        <w:t xml:space="preserve"> от     </w:t>
      </w:r>
      <w:r>
        <w:rPr>
          <w:rFonts w:ascii="Times New Roman" w:hAnsi="Times New Roman"/>
          <w:sz w:val="28"/>
          <w:szCs w:val="28"/>
        </w:rPr>
        <w:t>1</w:t>
      </w:r>
      <w:r w:rsidRPr="00B272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.10</w:t>
      </w:r>
      <w:r w:rsidRPr="00B272B2">
        <w:rPr>
          <w:rFonts w:ascii="Times New Roman" w:hAnsi="Times New Roman"/>
          <w:sz w:val="28"/>
          <w:szCs w:val="28"/>
        </w:rPr>
        <w:t>.2020 г. считать утратившим силу.</w:t>
      </w: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8"/>
        </w:rPr>
      </w:pPr>
      <w:r w:rsidRPr="00B272B2">
        <w:rPr>
          <w:rFonts w:ascii="Times New Roman" w:hAnsi="Times New Roman"/>
          <w:sz w:val="28"/>
        </w:rPr>
        <w:t>4.</w:t>
      </w:r>
      <w:proofErr w:type="gramStart"/>
      <w:r w:rsidRPr="00B272B2">
        <w:rPr>
          <w:rFonts w:ascii="Times New Roman" w:hAnsi="Times New Roman"/>
          <w:sz w:val="28"/>
        </w:rPr>
        <w:t>Контроль за</w:t>
      </w:r>
      <w:proofErr w:type="gramEnd"/>
      <w:r w:rsidRPr="00B272B2">
        <w:rPr>
          <w:rFonts w:ascii="Times New Roman" w:hAnsi="Times New Roman"/>
          <w:sz w:val="28"/>
        </w:rPr>
        <w:t xml:space="preserve"> исполнением настоящего постановления оставляю за собой. </w:t>
      </w: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8"/>
        </w:rPr>
      </w:pPr>
      <w:r w:rsidRPr="00B272B2">
        <w:rPr>
          <w:rFonts w:ascii="Times New Roman" w:hAnsi="Times New Roman"/>
          <w:sz w:val="28"/>
        </w:rPr>
        <w:t>5.Настоящее постановление вступает в силу со дня его</w:t>
      </w:r>
      <w:r w:rsidRPr="00B272B2">
        <w:rPr>
          <w:rFonts w:ascii="Times New Roman" w:hAnsi="Times New Roman"/>
          <w:spacing w:val="-11"/>
          <w:sz w:val="28"/>
        </w:rPr>
        <w:t xml:space="preserve"> </w:t>
      </w:r>
      <w:r w:rsidRPr="00B272B2">
        <w:rPr>
          <w:rFonts w:ascii="Times New Roman" w:hAnsi="Times New Roman"/>
          <w:sz w:val="28"/>
        </w:rPr>
        <w:t>подписания.</w:t>
      </w:r>
    </w:p>
    <w:p w:rsidR="00B272B2" w:rsidRDefault="00B272B2" w:rsidP="00B272B2">
      <w:pPr>
        <w:pStyle w:val="a5"/>
        <w:ind w:left="426"/>
        <w:rPr>
          <w:rFonts w:ascii="Times New Roman" w:hAnsi="Times New Roman"/>
          <w:sz w:val="30"/>
        </w:rPr>
      </w:pP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30"/>
        </w:rPr>
      </w:pP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30"/>
        </w:rPr>
      </w:pPr>
    </w:p>
    <w:p w:rsidR="00B272B2" w:rsidRPr="00B272B2" w:rsidRDefault="00B272B2" w:rsidP="00B272B2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B272B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72B2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Pr="00B272B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72B2">
        <w:rPr>
          <w:rFonts w:ascii="Times New Roman" w:hAnsi="Times New Roman"/>
          <w:sz w:val="28"/>
          <w:szCs w:val="28"/>
        </w:rPr>
        <w:tab/>
        <w:t xml:space="preserve">                            А.А. Добровольский</w:t>
      </w:r>
    </w:p>
    <w:p w:rsidR="00B272B2" w:rsidRPr="00B272B2" w:rsidRDefault="00B272B2" w:rsidP="00B272B2">
      <w:pPr>
        <w:pStyle w:val="a5"/>
        <w:ind w:left="284"/>
        <w:rPr>
          <w:rFonts w:ascii="Times New Roman" w:hAnsi="Times New Roman"/>
        </w:rPr>
      </w:pPr>
    </w:p>
    <w:p w:rsidR="0059149F" w:rsidRDefault="0059149F" w:rsidP="00B272B2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272B2" w:rsidRPr="00B272B2" w:rsidRDefault="00B272B2" w:rsidP="00B272B2">
      <w:pPr>
        <w:pStyle w:val="a5"/>
        <w:jc w:val="right"/>
        <w:rPr>
          <w:rFonts w:ascii="Times New Roman" w:hAnsi="Times New Roman"/>
          <w:w w:val="99"/>
          <w:sz w:val="26"/>
          <w:szCs w:val="26"/>
        </w:rPr>
      </w:pPr>
      <w:r w:rsidRPr="00B272B2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B272B2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gramStart"/>
      <w:r w:rsidRPr="00B272B2">
        <w:rPr>
          <w:rFonts w:ascii="Times New Roman" w:hAnsi="Times New Roman"/>
          <w:spacing w:val="-12"/>
          <w:sz w:val="26"/>
          <w:szCs w:val="26"/>
        </w:rPr>
        <w:t>к</w:t>
      </w:r>
      <w:proofErr w:type="gramEnd"/>
      <w:r w:rsidRPr="00B272B2">
        <w:rPr>
          <w:rFonts w:ascii="Times New Roman" w:hAnsi="Times New Roman"/>
          <w:w w:val="99"/>
          <w:sz w:val="26"/>
          <w:szCs w:val="26"/>
        </w:rPr>
        <w:t xml:space="preserve"> </w:t>
      </w:r>
    </w:p>
    <w:p w:rsidR="00B272B2" w:rsidRPr="00B272B2" w:rsidRDefault="00B272B2" w:rsidP="00B272B2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B272B2">
        <w:rPr>
          <w:rFonts w:ascii="Times New Roman" w:hAnsi="Times New Roman"/>
          <w:sz w:val="26"/>
          <w:szCs w:val="26"/>
        </w:rPr>
        <w:t>постановлению</w:t>
      </w:r>
      <w:r w:rsidRPr="00B272B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B272B2">
        <w:rPr>
          <w:rFonts w:ascii="Times New Roman" w:hAnsi="Times New Roman"/>
          <w:sz w:val="26"/>
          <w:szCs w:val="26"/>
        </w:rPr>
        <w:t>Администрации</w:t>
      </w:r>
    </w:p>
    <w:p w:rsidR="00B272B2" w:rsidRPr="00B272B2" w:rsidRDefault="00B272B2" w:rsidP="00B272B2">
      <w:pPr>
        <w:pStyle w:val="a5"/>
        <w:jc w:val="right"/>
        <w:rPr>
          <w:rFonts w:ascii="Times New Roman" w:hAnsi="Times New Roman"/>
          <w:w w:val="99"/>
          <w:sz w:val="26"/>
          <w:szCs w:val="26"/>
        </w:rPr>
      </w:pPr>
      <w:r w:rsidRPr="00B272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2B2">
        <w:rPr>
          <w:rFonts w:ascii="Times New Roman" w:hAnsi="Times New Roman"/>
          <w:sz w:val="26"/>
          <w:szCs w:val="26"/>
        </w:rPr>
        <w:t>Юрюзанского</w:t>
      </w:r>
      <w:proofErr w:type="spellEnd"/>
      <w:r w:rsidRPr="00B272B2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B272B2" w:rsidRPr="00B272B2" w:rsidRDefault="00B272B2" w:rsidP="00B272B2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B272B2">
        <w:rPr>
          <w:rFonts w:ascii="Times New Roman" w:hAnsi="Times New Roman"/>
          <w:sz w:val="26"/>
          <w:szCs w:val="26"/>
        </w:rPr>
        <w:t xml:space="preserve">от </w:t>
      </w:r>
      <w:r w:rsidR="0059149F">
        <w:rPr>
          <w:rFonts w:ascii="Times New Roman" w:hAnsi="Times New Roman"/>
          <w:sz w:val="26"/>
          <w:szCs w:val="26"/>
        </w:rPr>
        <w:t xml:space="preserve">01.03.2022 года </w:t>
      </w:r>
      <w:r w:rsidRPr="00B272B2">
        <w:rPr>
          <w:rFonts w:ascii="Times New Roman" w:hAnsi="Times New Roman"/>
          <w:sz w:val="26"/>
          <w:szCs w:val="26"/>
        </w:rPr>
        <w:t>№</w:t>
      </w:r>
      <w:r w:rsidR="0059149F">
        <w:rPr>
          <w:rFonts w:ascii="Times New Roman" w:hAnsi="Times New Roman"/>
          <w:sz w:val="26"/>
          <w:szCs w:val="26"/>
        </w:rPr>
        <w:t>87</w:t>
      </w:r>
    </w:p>
    <w:p w:rsidR="00231960" w:rsidRPr="00B272B2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B272B2" w:rsidRDefault="00B272B2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72B2" w:rsidRDefault="00B272B2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72B2" w:rsidRDefault="00B272B2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302E6A" w:rsidRDefault="00B272B2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F9371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F93712" w:rsidRPr="00302E6A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B272B2">
        <w:rPr>
          <w:rFonts w:ascii="Times New Roman" w:hAnsi="Times New Roman"/>
          <w:b/>
          <w:bCs/>
          <w:color w:val="000000" w:themeColor="text1"/>
          <w:sz w:val="28"/>
          <w:szCs w:val="28"/>
        </w:rPr>
        <w:t>Юрюзанского</w:t>
      </w:r>
      <w:proofErr w:type="spellEnd"/>
      <w:r w:rsidR="00B272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городского поселения </w:t>
      </w:r>
    </w:p>
    <w:p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302E6A" w:rsidTr="0034065F">
        <w:tc>
          <w:tcPr>
            <w:tcW w:w="8789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  <w:proofErr w:type="gramEnd"/>
          </w:p>
        </w:tc>
        <w:tc>
          <w:tcPr>
            <w:tcW w:w="1134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</w:t>
            </w:r>
            <w:proofErr w:type="spellStart"/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заявленияо</w:t>
            </w:r>
            <w:proofErr w:type="spellEnd"/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об исправлении допущенных опечаток и </w:t>
            </w:r>
            <w:proofErr w:type="spellStart"/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ошибокв</w:t>
            </w:r>
            <w:proofErr w:type="spellEnd"/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proofErr w:type="gramStart"/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proofErr w:type="gramStart"/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lastRenderedPageBreak/>
              <w:t>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proofErr w:type="gramStart"/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34065F">
        <w:tc>
          <w:tcPr>
            <w:tcW w:w="8789" w:type="dxa"/>
          </w:tcPr>
          <w:p w:rsidR="0094697A" w:rsidRPr="00302E6A" w:rsidRDefault="00810866" w:rsidP="00302E6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1134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</w:t>
      </w:r>
      <w:proofErr w:type="gram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субъекта Российской Федерации, органы местного самоуправления, Государственную корпорацию по атомной энергии "</w:t>
      </w:r>
      <w:proofErr w:type="spellStart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Росатом</w:t>
      </w:r>
      <w:proofErr w:type="spell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Роскосмос</w:t>
      </w:r>
      <w:proofErr w:type="spell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астоящий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уга) в </w:t>
      </w:r>
      <w:proofErr w:type="gramStart"/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ного самоуправления, </w:t>
      </w:r>
      <w:proofErr w:type="spellStart"/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(функций)»(https://www.gosuslugi.ru/) (далее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hyperlink r:id="rId10" w:history="1">
        <w:r w:rsidR="00B272B2" w:rsidRPr="00B272B2">
          <w:rPr>
            <w:rStyle w:val="af9"/>
            <w:rFonts w:ascii="Times New Roman" w:hAnsi="Times New Roman"/>
            <w:sz w:val="28"/>
            <w:szCs w:val="28"/>
            <w:bdr w:val="none" w:sz="0" w:space="0" w:color="auto" w:frame="1"/>
          </w:rPr>
          <w:t>www.yuryuzan.ru</w:t>
        </w:r>
      </w:hyperlink>
      <w:r w:rsidR="00B272B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B27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B272B2" w:rsidRPr="00B272B2">
          <w:rPr>
            <w:rStyle w:val="af9"/>
            <w:rFonts w:ascii="Times New Roman" w:hAnsi="Times New Roman"/>
            <w:sz w:val="28"/>
            <w:szCs w:val="28"/>
            <w:bdr w:val="none" w:sz="0" w:space="0" w:color="auto" w:frame="1"/>
          </w:rPr>
          <w:t>www.yuryuzan.ru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может самостоятельно дать ответ, телефонный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звонокдолжен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номер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государственной и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7745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(муниципальная) услуга предоставляется Уполномоченным органом </w:t>
      </w:r>
      <w:r w:rsidR="00B272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B272B2">
        <w:rPr>
          <w:rFonts w:ascii="Times New Roman" w:hAnsi="Times New Roman"/>
          <w:bCs/>
          <w:color w:val="000000" w:themeColor="text1"/>
          <w:sz w:val="28"/>
          <w:szCs w:val="28"/>
        </w:rPr>
        <w:t>Юрюзанского</w:t>
      </w:r>
      <w:proofErr w:type="spellEnd"/>
      <w:r w:rsidR="00B272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поселения.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</w:t>
      </w:r>
      <w:proofErr w:type="gramStart"/>
      <w:r w:rsidRPr="00302E6A">
        <w:rPr>
          <w:bCs/>
          <w:color w:val="000000" w:themeColor="text1"/>
        </w:rPr>
        <w:t>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</w:t>
      </w:r>
      <w:proofErr w:type="spellStart"/>
      <w:r w:rsidR="00E8268E" w:rsidRPr="00302E6A">
        <w:rPr>
          <w:bCs/>
          <w:color w:val="000000" w:themeColor="text1"/>
        </w:rPr>
        <w:t>д</w:t>
      </w:r>
      <w:proofErr w:type="spellEnd"/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ли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proofErr w:type="spellStart"/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", Государственную корпорацию по космической деятельности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исключительно в электронной форме в случае, если проектная документация объекта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личностьзаявителя</w:t>
      </w:r>
      <w:proofErr w:type="spellEnd"/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Административного </w:t>
      </w:r>
      <w:proofErr w:type="spellStart"/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регламента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указанный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 xml:space="preserve">или усиленной неквалифицированной электронной подписью правомочного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lastRenderedPageBreak/>
        <w:t>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 документ, подтверждающий заключение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302E6A">
        <w:rPr>
          <w:bCs/>
          <w:color w:val="000000" w:themeColor="text1"/>
        </w:rPr>
        <w:t xml:space="preserve"> местного самоуправления </w:t>
      </w:r>
      <w:proofErr w:type="gramStart"/>
      <w:r w:rsidRPr="00302E6A">
        <w:rPr>
          <w:bCs/>
          <w:color w:val="000000" w:themeColor="text1"/>
        </w:rPr>
        <w:t>организациях</w:t>
      </w:r>
      <w:proofErr w:type="gramEnd"/>
      <w:r w:rsidRPr="00302E6A">
        <w:rPr>
          <w:bCs/>
          <w:color w:val="000000" w:themeColor="text1"/>
        </w:rPr>
        <w:t xml:space="preserve">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 и подпунктах "г"-"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эксплуатацию считается первый рабочий день, следующий за днем представления заявителем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государственной власти, орган местного самоуправления, организацию.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д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proofErr w:type="spellStart"/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</w:r>
      <w:proofErr w:type="spellStart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действительнойв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</w:t>
      </w:r>
      <w:proofErr w:type="gramStart"/>
      <w:r w:rsidRPr="00302E6A">
        <w:rPr>
          <w:bCs/>
          <w:color w:val="000000" w:themeColor="text1"/>
        </w:rPr>
        <w:t xml:space="preserve">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302E6A">
        <w:rPr>
          <w:bCs/>
          <w:color w:val="000000" w:themeColor="text1"/>
        </w:rPr>
        <w:t>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2.21. Форма разрешения на ввод объекта в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эксплуатациюутверждается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принявшие решение об установлении или изменении зоны с особыми условиями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использования территории в связи с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)в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</w:t>
      </w:r>
      <w:proofErr w:type="gramStart"/>
      <w:r w:rsidRPr="00302E6A">
        <w:rPr>
          <w:bCs/>
          <w:color w:val="000000" w:themeColor="text1"/>
        </w:rPr>
        <w:t>объекта</w:t>
      </w:r>
      <w:proofErr w:type="gramEnd"/>
      <w:r w:rsidRPr="00302E6A">
        <w:rPr>
          <w:bCs/>
          <w:color w:val="000000" w:themeColor="text1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02E6A">
        <w:rPr>
          <w:bCs/>
          <w:color w:val="000000" w:themeColor="text1"/>
        </w:rPr>
        <w:t xml:space="preserve"> дней </w:t>
      </w:r>
      <w:proofErr w:type="gramStart"/>
      <w:r w:rsidRPr="00302E6A">
        <w:rPr>
          <w:bCs/>
          <w:color w:val="000000" w:themeColor="text1"/>
        </w:rPr>
        <w:t>с даты поступления</w:t>
      </w:r>
      <w:proofErr w:type="gramEnd"/>
      <w:r w:rsidRPr="00302E6A">
        <w:rPr>
          <w:bCs/>
          <w:color w:val="000000" w:themeColor="text1"/>
        </w:rPr>
        <w:t xml:space="preserve">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. </w:t>
      </w:r>
      <w:r w:rsidR="002B3279" w:rsidRPr="00302E6A">
        <w:rPr>
          <w:bCs/>
          <w:color w:val="000000" w:themeColor="text1"/>
        </w:rPr>
        <w:t>В случае</w:t>
      </w:r>
      <w:proofErr w:type="gramStart"/>
      <w:r w:rsidR="002B3279" w:rsidRPr="00302E6A">
        <w:rPr>
          <w:bCs/>
          <w:color w:val="000000" w:themeColor="text1"/>
        </w:rPr>
        <w:t>,</w:t>
      </w:r>
      <w:proofErr w:type="gramEnd"/>
      <w:r w:rsidR="002B3279" w:rsidRPr="00302E6A">
        <w:rPr>
          <w:bCs/>
          <w:color w:val="000000" w:themeColor="text1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lastRenderedPageBreak/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302E6A">
        <w:rPr>
          <w:bCs/>
          <w:color w:val="000000" w:themeColor="text1"/>
        </w:rPr>
        <w:t xml:space="preserve">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</w:t>
      </w:r>
      <w:proofErr w:type="spell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proofErr w:type="spellStart"/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оборудуются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proofErr w:type="spellStart"/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в том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  <w:proofErr w:type="gramEnd"/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)в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электронной форме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</w:t>
      </w:r>
      <w:proofErr w:type="gramStart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значений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разрешения на ввод объекта в </w:t>
      </w:r>
      <w:proofErr w:type="spellStart"/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становится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</w:t>
      </w:r>
      <w:proofErr w:type="gram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proofErr w:type="spellStart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посредствомЕдиного</w:t>
      </w:r>
      <w:proofErr w:type="spellEnd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(указать наименование субъекта </w:t>
      </w:r>
      <w:r w:rsidR="006C529E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Российской Федерации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 w:rsidR="00B272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B272B2" w:rsidRPr="00B272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B272B2" w:rsidRPr="00B272B2">
        <w:rPr>
          <w:rFonts w:ascii="Times New Roman" w:hAnsi="Times New Roman"/>
          <w:iCs/>
          <w:color w:val="000000" w:themeColor="text1"/>
          <w:sz w:val="28"/>
          <w:szCs w:val="28"/>
        </w:rPr>
        <w:t>Юрюзанского</w:t>
      </w:r>
      <w:proofErr w:type="spellEnd"/>
      <w:r w:rsidR="00B272B2" w:rsidRPr="00B272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городского поселения</w:t>
      </w:r>
      <w:r w:rsidR="00B272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proofErr w:type="spellStart"/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досудебном (внесудебном) порядке (далее – жалоба).</w:t>
      </w:r>
      <w:proofErr w:type="gramEnd"/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E202C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личном обращении работник многофункционального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центраподробно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центраосуществляет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форме электронного документа, и в письменной форме по почтовому адресу, указанному в обращении, поступившем в многофункциональный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письменной форме.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заявлении о выдаче разрешения на ввод объекта в </w:t>
      </w:r>
      <w:proofErr w:type="spell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указания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центрдля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центропределяются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Работник многофункционального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центраосуществляет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действия:</w:t>
      </w:r>
      <w:proofErr w:type="gramEnd"/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смс-опросе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even" r:id="rId15"/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proofErr w:type="spell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указываетсяв</w:t>
            </w:r>
            <w:proofErr w:type="spellEnd"/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случае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proofErr w:type="spell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</w:t>
            </w:r>
            <w:proofErr w:type="spellStart"/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      </w:r>
            <w:proofErr w:type="spell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действительнойв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ному</w:t>
      </w:r>
      <w:proofErr w:type="gramEnd"/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proofErr w:type="spellStart"/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ввод объекта в эксплуатацию, 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содержащемопечатку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gramEnd"/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 телефона и адрес электронной почты для связи:______________________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рассмотрения настоящего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заявленияпрошу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proofErr w:type="gramStart"/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регламентупредоставления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выданном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рассмотрения настоящего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заявленияпрошу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proofErr w:type="gramStart"/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регламентупредоставления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</w:t>
      </w:r>
      <w:proofErr w:type="spell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заявленияо</w:t>
      </w:r>
      <w:proofErr w:type="spell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разрешения на ввод объекта в </w:t>
      </w:r>
      <w:proofErr w:type="spell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8F" w:rsidRDefault="0018738F">
      <w:pPr>
        <w:spacing w:after="0" w:line="240" w:lineRule="auto"/>
      </w:pPr>
      <w:r>
        <w:separator/>
      </w:r>
    </w:p>
  </w:endnote>
  <w:endnote w:type="continuationSeparator" w:id="0">
    <w:p w:rsidR="0018738F" w:rsidRDefault="0018738F">
      <w:pPr>
        <w:spacing w:after="0" w:line="240" w:lineRule="auto"/>
      </w:pPr>
      <w:r>
        <w:continuationSeparator/>
      </w:r>
    </w:p>
  </w:endnote>
  <w:endnote w:type="continuationNotice" w:id="1">
    <w:p w:rsidR="0018738F" w:rsidRDefault="0018738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8F" w:rsidRDefault="0018738F">
      <w:pPr>
        <w:spacing w:after="0" w:line="240" w:lineRule="auto"/>
      </w:pPr>
      <w:r>
        <w:separator/>
      </w:r>
    </w:p>
  </w:footnote>
  <w:footnote w:type="continuationSeparator" w:id="0">
    <w:p w:rsidR="0018738F" w:rsidRDefault="0018738F">
      <w:pPr>
        <w:spacing w:after="0" w:line="240" w:lineRule="auto"/>
      </w:pPr>
      <w:r>
        <w:continuationSeparator/>
      </w:r>
    </w:p>
  </w:footnote>
  <w:footnote w:type="continuationNotice" w:id="1">
    <w:p w:rsidR="0018738F" w:rsidRDefault="0018738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DD" w:rsidRDefault="008453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DD" w:rsidRPr="007B2B77" w:rsidRDefault="008453DD">
    <w:pPr>
      <w:pStyle w:val="a6"/>
      <w:jc w:val="center"/>
      <w:rPr>
        <w:rFonts w:ascii="Times New Roman" w:hAnsi="Times New Roman"/>
        <w:sz w:val="24"/>
      </w:rPr>
    </w:pPr>
  </w:p>
  <w:p w:rsidR="008453DD" w:rsidRDefault="008453D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38F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48B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149F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2B2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02CA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uryuza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uryuz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ryuzan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0965-15BA-4BD8-961C-E33ECB5B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18479</Words>
  <Characters>105336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Admin</cp:lastModifiedBy>
  <cp:revision>3</cp:revision>
  <cp:lastPrinted>2020-09-18T17:08:00Z</cp:lastPrinted>
  <dcterms:created xsi:type="dcterms:W3CDTF">2022-02-28T11:18:00Z</dcterms:created>
  <dcterms:modified xsi:type="dcterms:W3CDTF">2022-03-09T08:47:00Z</dcterms:modified>
</cp:coreProperties>
</file>